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F4" w:rsidRDefault="000A12FD" w:rsidP="00F1524F">
      <w:pPr>
        <w:jc w:val="center"/>
        <w:rPr>
          <w:rFonts w:ascii="Arial" w:hAnsi="Arial" w:cs="Arial"/>
          <w:b/>
          <w:bCs/>
          <w:szCs w:val="27"/>
        </w:rPr>
      </w:pPr>
      <w:r w:rsidRPr="00F1524F">
        <w:rPr>
          <w:rFonts w:ascii="Arial" w:hAnsi="Arial" w:cs="Arial"/>
          <w:b/>
          <w:bCs/>
          <w:noProof/>
          <w:szCs w:val="27"/>
        </w:rPr>
        <w:drawing>
          <wp:anchor distT="0" distB="0" distL="114300" distR="114300" simplePos="0" relativeHeight="251658240" behindDoc="1" locked="0" layoutInCell="1" allowOverlap="1" wp14:anchorId="5191345C" wp14:editId="4A92A169">
            <wp:simplePos x="0" y="0"/>
            <wp:positionH relativeFrom="column">
              <wp:posOffset>-450850</wp:posOffset>
            </wp:positionH>
            <wp:positionV relativeFrom="paragraph">
              <wp:posOffset>-400050</wp:posOffset>
            </wp:positionV>
            <wp:extent cx="2802255" cy="692150"/>
            <wp:effectExtent l="0" t="0" r="0" b="0"/>
            <wp:wrapThrough wrapText="bothSides">
              <wp:wrapPolygon edited="0">
                <wp:start x="0" y="0"/>
                <wp:lineTo x="0" y="20807"/>
                <wp:lineTo x="21438" y="20807"/>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LOGO-CMYK_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255" cy="692150"/>
                    </a:xfrm>
                    <a:prstGeom prst="rect">
                      <a:avLst/>
                    </a:prstGeom>
                  </pic:spPr>
                </pic:pic>
              </a:graphicData>
            </a:graphic>
            <wp14:sizeRelH relativeFrom="page">
              <wp14:pctWidth>0</wp14:pctWidth>
            </wp14:sizeRelH>
            <wp14:sizeRelV relativeFrom="page">
              <wp14:pctHeight>0</wp14:pctHeight>
            </wp14:sizeRelV>
          </wp:anchor>
        </w:drawing>
      </w:r>
      <w:r w:rsidR="00F24306" w:rsidRPr="00F1524F">
        <w:rPr>
          <w:rFonts w:ascii="Arial" w:hAnsi="Arial" w:cs="Arial"/>
          <w:b/>
          <w:bCs/>
          <w:noProof/>
          <w:szCs w:val="27"/>
        </w:rPr>
        <w:drawing>
          <wp:anchor distT="0" distB="0" distL="114300" distR="114300" simplePos="0" relativeHeight="251659264" behindDoc="1" locked="0" layoutInCell="1" allowOverlap="1" wp14:anchorId="5127FA63" wp14:editId="05BD7DD6">
            <wp:simplePos x="0" y="0"/>
            <wp:positionH relativeFrom="column">
              <wp:posOffset>4931410</wp:posOffset>
            </wp:positionH>
            <wp:positionV relativeFrom="paragraph">
              <wp:posOffset>-461010</wp:posOffset>
            </wp:positionV>
            <wp:extent cx="1246505" cy="844550"/>
            <wp:effectExtent l="0" t="0" r="0" b="0"/>
            <wp:wrapThrough wrapText="bothSides">
              <wp:wrapPolygon edited="0">
                <wp:start x="0" y="0"/>
                <wp:lineTo x="0" y="20950"/>
                <wp:lineTo x="21127" y="20950"/>
                <wp:lineTo x="211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6505" cy="844550"/>
                    </a:xfrm>
                    <a:prstGeom prst="rect">
                      <a:avLst/>
                    </a:prstGeom>
                  </pic:spPr>
                </pic:pic>
              </a:graphicData>
            </a:graphic>
            <wp14:sizeRelH relativeFrom="page">
              <wp14:pctWidth>0</wp14:pctWidth>
            </wp14:sizeRelH>
            <wp14:sizeRelV relativeFrom="page">
              <wp14:pctHeight>0</wp14:pctHeight>
            </wp14:sizeRelV>
          </wp:anchor>
        </w:drawing>
      </w:r>
    </w:p>
    <w:p w:rsidR="00BA4BF4" w:rsidRDefault="00BA4BF4" w:rsidP="00F1524F">
      <w:pPr>
        <w:jc w:val="center"/>
        <w:rPr>
          <w:rFonts w:ascii="Arial" w:hAnsi="Arial" w:cs="Arial"/>
          <w:b/>
          <w:bCs/>
          <w:szCs w:val="27"/>
        </w:rPr>
      </w:pPr>
    </w:p>
    <w:p w:rsidR="00F24306" w:rsidRDefault="00F24306" w:rsidP="00F1524F">
      <w:pPr>
        <w:jc w:val="center"/>
        <w:rPr>
          <w:rFonts w:ascii="Arial" w:hAnsi="Arial" w:cs="Arial"/>
          <w:b/>
          <w:bCs/>
          <w:szCs w:val="27"/>
        </w:rPr>
      </w:pPr>
      <w:bookmarkStart w:id="0" w:name="_GoBack"/>
      <w:bookmarkEnd w:id="0"/>
    </w:p>
    <w:p w:rsidR="008428C5" w:rsidRDefault="008428C5" w:rsidP="00F1524F">
      <w:pPr>
        <w:jc w:val="center"/>
        <w:rPr>
          <w:rFonts w:ascii="Arial" w:hAnsi="Arial" w:cs="Arial"/>
          <w:bCs/>
          <w:szCs w:val="27"/>
        </w:rPr>
      </w:pPr>
      <w:r w:rsidRPr="00453C48">
        <w:rPr>
          <w:rFonts w:ascii="Arial" w:hAnsi="Arial" w:cs="Arial"/>
          <w:b/>
          <w:bCs/>
          <w:szCs w:val="27"/>
        </w:rPr>
        <w:t xml:space="preserve">2014 Legislative </w:t>
      </w:r>
      <w:r w:rsidR="00530BDB">
        <w:rPr>
          <w:rFonts w:ascii="Arial" w:hAnsi="Arial" w:cs="Arial"/>
          <w:b/>
          <w:bCs/>
          <w:szCs w:val="27"/>
        </w:rPr>
        <w:t>Priorities</w:t>
      </w:r>
    </w:p>
    <w:p w:rsidR="00530BDB" w:rsidRDefault="00530BDB" w:rsidP="008428C5">
      <w:pPr>
        <w:rPr>
          <w:rFonts w:ascii="Arial" w:hAnsi="Arial" w:cs="Arial"/>
          <w:bCs/>
          <w:szCs w:val="27"/>
        </w:rPr>
      </w:pPr>
    </w:p>
    <w:p w:rsidR="00530BDB" w:rsidRDefault="00530BDB" w:rsidP="008428C5">
      <w:pPr>
        <w:rPr>
          <w:rFonts w:ascii="Arial" w:hAnsi="Arial" w:cs="Arial"/>
          <w:bCs/>
          <w:szCs w:val="27"/>
        </w:rPr>
      </w:pPr>
    </w:p>
    <w:p w:rsidR="00BA4BF4" w:rsidRPr="00F1524F" w:rsidRDefault="001553C2" w:rsidP="00F1524F">
      <w:pPr>
        <w:jc w:val="both"/>
        <w:rPr>
          <w:rFonts w:ascii="Arial" w:hAnsi="Arial" w:cs="Arial"/>
          <w:sz w:val="22"/>
          <w:szCs w:val="22"/>
        </w:rPr>
      </w:pPr>
      <w:r w:rsidRPr="00F1524F">
        <w:rPr>
          <w:rFonts w:ascii="Arial" w:hAnsi="Arial" w:cs="Arial"/>
          <w:b/>
          <w:sz w:val="22"/>
          <w:szCs w:val="22"/>
          <w:u w:val="single"/>
        </w:rPr>
        <w:t>CBC Equity Allocation Methodology</w:t>
      </w:r>
      <w:r w:rsidRPr="00F1524F">
        <w:rPr>
          <w:rFonts w:ascii="Arial" w:hAnsi="Arial" w:cs="Arial"/>
          <w:sz w:val="22"/>
          <w:szCs w:val="22"/>
        </w:rPr>
        <w:t xml:space="preserve"> </w:t>
      </w:r>
      <w:r w:rsidR="00F1524F">
        <w:rPr>
          <w:rFonts w:ascii="Arial" w:hAnsi="Arial" w:cs="Arial"/>
          <w:sz w:val="22"/>
          <w:szCs w:val="22"/>
        </w:rPr>
        <w:t xml:space="preserve">Fund CBCs based on </w:t>
      </w:r>
      <w:r w:rsidRPr="00F1524F">
        <w:rPr>
          <w:rFonts w:ascii="Arial" w:hAnsi="Arial" w:cs="Arial"/>
          <w:sz w:val="22"/>
          <w:szCs w:val="22"/>
        </w:rPr>
        <w:t xml:space="preserve">the census of </w:t>
      </w:r>
      <w:r w:rsidR="00F1524F">
        <w:rPr>
          <w:rFonts w:ascii="Arial" w:hAnsi="Arial" w:cs="Arial"/>
          <w:sz w:val="22"/>
          <w:szCs w:val="22"/>
        </w:rPr>
        <w:t xml:space="preserve">all </w:t>
      </w:r>
      <w:r w:rsidRPr="00F1524F">
        <w:rPr>
          <w:rFonts w:ascii="Arial" w:hAnsi="Arial" w:cs="Arial"/>
          <w:sz w:val="22"/>
          <w:szCs w:val="22"/>
        </w:rPr>
        <w:t xml:space="preserve">children served in </w:t>
      </w:r>
      <w:r w:rsidR="00F1524F">
        <w:rPr>
          <w:rFonts w:ascii="Arial" w:hAnsi="Arial" w:cs="Arial"/>
          <w:sz w:val="22"/>
          <w:szCs w:val="22"/>
        </w:rPr>
        <w:t xml:space="preserve"> both the dependency system and </w:t>
      </w:r>
      <w:r w:rsidRPr="00F1524F">
        <w:rPr>
          <w:rFonts w:ascii="Arial" w:hAnsi="Arial" w:cs="Arial"/>
          <w:sz w:val="22"/>
          <w:szCs w:val="22"/>
        </w:rPr>
        <w:t xml:space="preserve">Prevention and Diversion programs, as required in statute. </w:t>
      </w:r>
    </w:p>
    <w:p w:rsidR="001553C2" w:rsidRPr="00F1524F" w:rsidRDefault="001553C2" w:rsidP="00F1524F">
      <w:pPr>
        <w:jc w:val="both"/>
        <w:rPr>
          <w:rFonts w:ascii="Arial" w:hAnsi="Arial" w:cs="Arial"/>
          <w:b/>
          <w:bCs/>
          <w:sz w:val="22"/>
          <w:szCs w:val="22"/>
          <w:u w:val="single"/>
        </w:rPr>
      </w:pPr>
    </w:p>
    <w:p w:rsidR="00E6372B" w:rsidRPr="00F1524F" w:rsidRDefault="00530BDB" w:rsidP="00F1524F">
      <w:pPr>
        <w:jc w:val="both"/>
        <w:rPr>
          <w:rFonts w:ascii="Arial" w:hAnsi="Arial" w:cs="Arial"/>
          <w:sz w:val="22"/>
          <w:szCs w:val="22"/>
        </w:rPr>
      </w:pPr>
      <w:r w:rsidRPr="00F1524F">
        <w:rPr>
          <w:rFonts w:ascii="Arial" w:hAnsi="Arial" w:cs="Arial"/>
          <w:b/>
          <w:sz w:val="22"/>
          <w:szCs w:val="22"/>
          <w:u w:val="single"/>
        </w:rPr>
        <w:t xml:space="preserve">CBC </w:t>
      </w:r>
      <w:r w:rsidR="008428C5" w:rsidRPr="00F1524F">
        <w:rPr>
          <w:rFonts w:ascii="Arial" w:hAnsi="Arial" w:cs="Arial"/>
          <w:b/>
          <w:sz w:val="22"/>
          <w:szCs w:val="22"/>
          <w:u w:val="single"/>
        </w:rPr>
        <w:t>Scorecard</w:t>
      </w:r>
      <w:r w:rsidRPr="00F1524F">
        <w:rPr>
          <w:rFonts w:ascii="Arial" w:hAnsi="Arial" w:cs="Arial"/>
          <w:sz w:val="22"/>
          <w:szCs w:val="22"/>
        </w:rPr>
        <w:t xml:space="preserve"> BFP desires</w:t>
      </w:r>
      <w:r w:rsidR="00811E72" w:rsidRPr="00F1524F">
        <w:rPr>
          <w:rFonts w:ascii="Arial" w:hAnsi="Arial" w:cs="Arial"/>
          <w:sz w:val="22"/>
          <w:szCs w:val="22"/>
        </w:rPr>
        <w:t xml:space="preserve"> equity of accountability and </w:t>
      </w:r>
      <w:r w:rsidRPr="00F1524F">
        <w:rPr>
          <w:rFonts w:ascii="Arial" w:hAnsi="Arial" w:cs="Arial"/>
          <w:sz w:val="22"/>
          <w:szCs w:val="22"/>
        </w:rPr>
        <w:t xml:space="preserve">requests </w:t>
      </w:r>
      <w:r w:rsidR="008428C5" w:rsidRPr="00F1524F">
        <w:rPr>
          <w:rFonts w:ascii="Arial" w:hAnsi="Arial" w:cs="Arial"/>
          <w:sz w:val="22"/>
          <w:szCs w:val="22"/>
        </w:rPr>
        <w:t xml:space="preserve">the </w:t>
      </w:r>
      <w:r w:rsidR="00811E72" w:rsidRPr="00F1524F">
        <w:rPr>
          <w:rFonts w:ascii="Arial" w:hAnsi="Arial" w:cs="Arial"/>
          <w:sz w:val="22"/>
          <w:szCs w:val="22"/>
        </w:rPr>
        <w:t>legislature</w:t>
      </w:r>
      <w:r w:rsidRPr="00F1524F">
        <w:rPr>
          <w:rFonts w:ascii="Arial" w:hAnsi="Arial" w:cs="Arial"/>
          <w:sz w:val="22"/>
          <w:szCs w:val="22"/>
        </w:rPr>
        <w:t xml:space="preserve"> </w:t>
      </w:r>
      <w:r w:rsidR="00E6372B" w:rsidRPr="00F1524F">
        <w:rPr>
          <w:rFonts w:ascii="Arial" w:hAnsi="Arial" w:cs="Arial"/>
          <w:sz w:val="22"/>
          <w:szCs w:val="22"/>
        </w:rPr>
        <w:t xml:space="preserve">direct DCF to </w:t>
      </w:r>
      <w:r w:rsidR="008428C5" w:rsidRPr="00F1524F">
        <w:rPr>
          <w:rFonts w:ascii="Arial" w:hAnsi="Arial" w:cs="Arial"/>
          <w:sz w:val="22"/>
          <w:szCs w:val="22"/>
        </w:rPr>
        <w:t xml:space="preserve">contract with an independent party to </w:t>
      </w:r>
      <w:r w:rsidRPr="00F1524F">
        <w:rPr>
          <w:rFonts w:ascii="Arial" w:hAnsi="Arial" w:cs="Arial"/>
          <w:sz w:val="22"/>
          <w:szCs w:val="22"/>
        </w:rPr>
        <w:t xml:space="preserve">develop </w:t>
      </w:r>
      <w:r w:rsidR="008428C5" w:rsidRPr="00F1524F">
        <w:rPr>
          <w:rFonts w:ascii="Arial" w:hAnsi="Arial" w:cs="Arial"/>
          <w:sz w:val="22"/>
          <w:szCs w:val="22"/>
        </w:rPr>
        <w:t xml:space="preserve">a scorecard </w:t>
      </w:r>
      <w:r w:rsidRPr="00F1524F">
        <w:rPr>
          <w:rFonts w:ascii="Arial" w:hAnsi="Arial" w:cs="Arial"/>
          <w:sz w:val="22"/>
          <w:szCs w:val="22"/>
        </w:rPr>
        <w:t xml:space="preserve">which </w:t>
      </w:r>
      <w:r w:rsidR="00CF5EF5" w:rsidRPr="00F1524F">
        <w:rPr>
          <w:rFonts w:ascii="Arial" w:hAnsi="Arial" w:cs="Arial"/>
          <w:sz w:val="22"/>
          <w:szCs w:val="22"/>
        </w:rPr>
        <w:t>include</w:t>
      </w:r>
      <w:r w:rsidRPr="00F1524F">
        <w:rPr>
          <w:rFonts w:ascii="Arial" w:hAnsi="Arial" w:cs="Arial"/>
          <w:sz w:val="22"/>
          <w:szCs w:val="22"/>
        </w:rPr>
        <w:t>s</w:t>
      </w:r>
      <w:r w:rsidR="00CF5EF5" w:rsidRPr="00F1524F">
        <w:rPr>
          <w:rFonts w:ascii="Arial" w:hAnsi="Arial" w:cs="Arial"/>
          <w:sz w:val="22"/>
          <w:szCs w:val="22"/>
        </w:rPr>
        <w:t xml:space="preserve"> metrics </w:t>
      </w:r>
      <w:r w:rsidR="001553C2" w:rsidRPr="00F1524F">
        <w:rPr>
          <w:rFonts w:ascii="Arial" w:hAnsi="Arial" w:cs="Arial"/>
          <w:sz w:val="22"/>
          <w:szCs w:val="22"/>
        </w:rPr>
        <w:t xml:space="preserve">as mandated in </w:t>
      </w:r>
      <w:r w:rsidR="00353BB3" w:rsidRPr="00F1524F">
        <w:rPr>
          <w:rFonts w:ascii="Arial" w:hAnsi="Arial" w:cs="Arial"/>
          <w:b/>
          <w:sz w:val="22"/>
          <w:szCs w:val="22"/>
        </w:rPr>
        <w:t>Chapter 409 167.3.e</w:t>
      </w:r>
      <w:r w:rsidR="00BA4BF4" w:rsidRPr="00F1524F">
        <w:rPr>
          <w:rFonts w:ascii="Arial" w:hAnsi="Arial" w:cs="Arial"/>
          <w:sz w:val="22"/>
          <w:szCs w:val="22"/>
        </w:rPr>
        <w:t>:</w:t>
      </w:r>
      <w:r w:rsidR="00353BB3" w:rsidRPr="00F1524F">
        <w:rPr>
          <w:rFonts w:ascii="Arial" w:hAnsi="Arial" w:cs="Arial"/>
          <w:sz w:val="22"/>
          <w:szCs w:val="22"/>
        </w:rPr>
        <w:t xml:space="preserve"> </w:t>
      </w:r>
      <w:r w:rsidR="00353BB3" w:rsidRPr="00F1524F">
        <w:rPr>
          <w:rFonts w:ascii="Arial" w:eastAsiaTheme="minorEastAsia" w:hAnsi="Arial" w:cs="Arial"/>
          <w:i/>
          <w:color w:val="000000" w:themeColor="text1"/>
          <w:kern w:val="24"/>
          <w:sz w:val="22"/>
          <w:szCs w:val="22"/>
        </w:rPr>
        <w:t>Each contract with an eligible lead community-based provider must include all</w:t>
      </w:r>
      <w:r w:rsidRPr="00F1524F">
        <w:rPr>
          <w:rFonts w:ascii="Arial" w:eastAsiaTheme="minorEastAsia" w:hAnsi="Arial" w:cs="Arial"/>
          <w:i/>
          <w:color w:val="000000" w:themeColor="text1"/>
          <w:kern w:val="24"/>
          <w:sz w:val="22"/>
          <w:szCs w:val="22"/>
        </w:rPr>
        <w:t xml:space="preserve"> </w:t>
      </w:r>
      <w:r w:rsidR="00353BB3" w:rsidRPr="00F1524F">
        <w:rPr>
          <w:rFonts w:ascii="Arial" w:eastAsiaTheme="minorEastAsia" w:hAnsi="Arial" w:cs="Arial"/>
          <w:i/>
          <w:color w:val="000000" w:themeColor="text1"/>
          <w:kern w:val="24"/>
          <w:sz w:val="22"/>
          <w:szCs w:val="22"/>
        </w:rPr>
        <w:t>performance outcome measures established by the Legislature and that are under the control of the lead agency</w:t>
      </w:r>
      <w:r w:rsidR="00B65EDF" w:rsidRPr="00F1524F">
        <w:rPr>
          <w:rFonts w:ascii="Arial" w:eastAsiaTheme="minorEastAsia" w:hAnsi="Arial" w:cs="Arial"/>
          <w:color w:val="000000" w:themeColor="text1"/>
          <w:kern w:val="24"/>
          <w:sz w:val="22"/>
          <w:szCs w:val="22"/>
        </w:rPr>
        <w:t xml:space="preserve">. </w:t>
      </w:r>
    </w:p>
    <w:p w:rsidR="008428C5" w:rsidRPr="00F1524F" w:rsidRDefault="008428C5" w:rsidP="00F1524F">
      <w:pPr>
        <w:pStyle w:val="ListParagraph"/>
        <w:contextualSpacing w:val="0"/>
        <w:jc w:val="both"/>
        <w:rPr>
          <w:rFonts w:ascii="Arial" w:hAnsi="Arial" w:cs="Arial"/>
          <w:sz w:val="22"/>
          <w:szCs w:val="22"/>
          <w:u w:val="single"/>
        </w:rPr>
      </w:pPr>
    </w:p>
    <w:p w:rsidR="003E4B2E" w:rsidRPr="00F1524F" w:rsidRDefault="00530BDB" w:rsidP="00F1524F">
      <w:pPr>
        <w:tabs>
          <w:tab w:val="left" w:pos="-5400"/>
        </w:tabs>
        <w:jc w:val="both"/>
        <w:rPr>
          <w:rFonts w:ascii="Arial" w:hAnsi="Arial" w:cs="Arial"/>
          <w:sz w:val="22"/>
          <w:szCs w:val="22"/>
        </w:rPr>
      </w:pPr>
      <w:r w:rsidRPr="00F1524F">
        <w:rPr>
          <w:rFonts w:ascii="Arial" w:hAnsi="Arial" w:cs="Arial"/>
          <w:b/>
          <w:sz w:val="22"/>
          <w:szCs w:val="22"/>
          <w:u w:val="single"/>
        </w:rPr>
        <w:t>Independent Living</w:t>
      </w:r>
      <w:r w:rsidRPr="00F1524F">
        <w:rPr>
          <w:rFonts w:ascii="Arial" w:hAnsi="Arial" w:cs="Arial"/>
          <w:sz w:val="22"/>
          <w:szCs w:val="22"/>
        </w:rPr>
        <w:t xml:space="preserve"> </w:t>
      </w:r>
      <w:r w:rsidR="00291012" w:rsidRPr="00F1524F">
        <w:rPr>
          <w:rFonts w:ascii="Arial" w:hAnsi="Arial" w:cs="Arial"/>
          <w:sz w:val="22"/>
          <w:szCs w:val="22"/>
        </w:rPr>
        <w:t xml:space="preserve">Florida Statute </w:t>
      </w:r>
      <w:r w:rsidR="003B4C91" w:rsidRPr="00F1524F">
        <w:rPr>
          <w:rFonts w:ascii="Arial" w:hAnsi="Arial" w:cs="Arial"/>
          <w:sz w:val="22"/>
          <w:szCs w:val="22"/>
        </w:rPr>
        <w:t>Ch. 2013-178</w:t>
      </w:r>
      <w:r w:rsidR="00AC25B2" w:rsidRPr="00F1524F">
        <w:rPr>
          <w:rFonts w:ascii="Arial" w:hAnsi="Arial" w:cs="Arial"/>
          <w:sz w:val="22"/>
          <w:szCs w:val="22"/>
        </w:rPr>
        <w:t xml:space="preserve"> </w:t>
      </w:r>
      <w:r w:rsidR="003B4C91" w:rsidRPr="00F1524F">
        <w:rPr>
          <w:rFonts w:ascii="Arial" w:hAnsi="Arial" w:cs="Arial"/>
          <w:sz w:val="22"/>
          <w:szCs w:val="22"/>
        </w:rPr>
        <w:t xml:space="preserve">(Independent Living) </w:t>
      </w:r>
      <w:r w:rsidR="008428C5" w:rsidRPr="00F1524F">
        <w:rPr>
          <w:rFonts w:ascii="Arial" w:hAnsi="Arial" w:cs="Arial"/>
          <w:sz w:val="22"/>
          <w:szCs w:val="22"/>
        </w:rPr>
        <w:t xml:space="preserve">should be amended to include language regarding </w:t>
      </w:r>
      <w:r w:rsidR="00E6372B" w:rsidRPr="00F1524F">
        <w:rPr>
          <w:rFonts w:ascii="Arial" w:hAnsi="Arial" w:cs="Arial"/>
          <w:sz w:val="22"/>
          <w:szCs w:val="22"/>
        </w:rPr>
        <w:t xml:space="preserve">the responsibility of </w:t>
      </w:r>
      <w:r w:rsidR="008428C5" w:rsidRPr="00F1524F">
        <w:rPr>
          <w:rFonts w:ascii="Arial" w:hAnsi="Arial" w:cs="Arial"/>
          <w:sz w:val="22"/>
          <w:szCs w:val="22"/>
        </w:rPr>
        <w:t xml:space="preserve">APD </w:t>
      </w:r>
      <w:r w:rsidR="00E6372B" w:rsidRPr="00F1524F">
        <w:rPr>
          <w:rFonts w:ascii="Arial" w:hAnsi="Arial" w:cs="Arial"/>
          <w:sz w:val="22"/>
          <w:szCs w:val="22"/>
        </w:rPr>
        <w:t xml:space="preserve">to fund services for </w:t>
      </w:r>
      <w:r w:rsidR="008428C5" w:rsidRPr="00F1524F">
        <w:rPr>
          <w:rFonts w:ascii="Arial" w:hAnsi="Arial" w:cs="Arial"/>
          <w:sz w:val="22"/>
          <w:szCs w:val="22"/>
        </w:rPr>
        <w:t>youth turning 18</w:t>
      </w:r>
      <w:r w:rsidR="00E6372B" w:rsidRPr="00F1524F">
        <w:rPr>
          <w:rFonts w:ascii="Arial" w:hAnsi="Arial" w:cs="Arial"/>
          <w:sz w:val="22"/>
          <w:szCs w:val="22"/>
        </w:rPr>
        <w:t xml:space="preserve"> years of age</w:t>
      </w:r>
      <w:r w:rsidR="008428C5" w:rsidRPr="00F1524F">
        <w:rPr>
          <w:rFonts w:ascii="Arial" w:hAnsi="Arial" w:cs="Arial"/>
          <w:sz w:val="22"/>
          <w:szCs w:val="22"/>
        </w:rPr>
        <w:t>.</w:t>
      </w:r>
    </w:p>
    <w:p w:rsidR="00BA4BF4" w:rsidRPr="00F1524F" w:rsidRDefault="00BA4BF4" w:rsidP="00F1524F">
      <w:pPr>
        <w:tabs>
          <w:tab w:val="left" w:pos="-5400"/>
        </w:tabs>
        <w:jc w:val="both"/>
        <w:rPr>
          <w:rFonts w:ascii="Arial" w:hAnsi="Arial" w:cs="Arial"/>
          <w:sz w:val="22"/>
          <w:szCs w:val="22"/>
        </w:rPr>
      </w:pPr>
    </w:p>
    <w:p w:rsidR="00BA4BF4" w:rsidRPr="00F1524F" w:rsidRDefault="00BA4BF4" w:rsidP="00F1524F">
      <w:pPr>
        <w:tabs>
          <w:tab w:val="left" w:pos="-5400"/>
        </w:tabs>
        <w:jc w:val="both"/>
        <w:rPr>
          <w:rFonts w:ascii="Arial" w:hAnsi="Arial" w:cs="Arial"/>
          <w:sz w:val="22"/>
          <w:szCs w:val="22"/>
        </w:rPr>
      </w:pPr>
      <w:r w:rsidRPr="00F1524F">
        <w:rPr>
          <w:rFonts w:ascii="Arial" w:hAnsi="Arial" w:cs="Arial"/>
          <w:b/>
          <w:sz w:val="22"/>
          <w:szCs w:val="22"/>
          <w:u w:val="single"/>
        </w:rPr>
        <w:t>Chapter 409</w:t>
      </w:r>
      <w:r w:rsidRPr="00F1524F">
        <w:rPr>
          <w:rFonts w:ascii="Arial" w:hAnsi="Arial" w:cs="Arial"/>
          <w:sz w:val="22"/>
          <w:szCs w:val="22"/>
        </w:rPr>
        <w:t xml:space="preserve"> Review and update sections of Chapter 409 to better align with present-day environments and operations of the community based care model.</w:t>
      </w:r>
    </w:p>
    <w:p w:rsidR="00BA4BF4" w:rsidRPr="00F1524F" w:rsidRDefault="00BA4BF4" w:rsidP="00F1524F">
      <w:pPr>
        <w:tabs>
          <w:tab w:val="left" w:pos="-5400"/>
        </w:tabs>
        <w:jc w:val="both"/>
        <w:rPr>
          <w:rFonts w:ascii="Arial" w:hAnsi="Arial" w:cs="Arial"/>
          <w:sz w:val="22"/>
          <w:szCs w:val="22"/>
        </w:rPr>
      </w:pPr>
    </w:p>
    <w:p w:rsidR="00BA4BF4" w:rsidRPr="00F1524F" w:rsidRDefault="00BA4BF4" w:rsidP="00F1524F">
      <w:pPr>
        <w:tabs>
          <w:tab w:val="left" w:pos="-5400"/>
        </w:tabs>
        <w:jc w:val="both"/>
        <w:rPr>
          <w:rFonts w:ascii="Arial" w:eastAsia="Times New Roman" w:hAnsi="Arial" w:cs="Arial"/>
          <w:sz w:val="22"/>
          <w:szCs w:val="22"/>
        </w:rPr>
      </w:pPr>
      <w:r w:rsidRPr="00F1524F">
        <w:rPr>
          <w:rFonts w:ascii="Arial" w:eastAsia="Times New Roman" w:hAnsi="Arial" w:cs="Arial"/>
          <w:b/>
          <w:sz w:val="22"/>
          <w:szCs w:val="22"/>
          <w:u w:val="single"/>
        </w:rPr>
        <w:t>Chapter 287</w:t>
      </w:r>
      <w:r w:rsidRPr="00F1524F">
        <w:rPr>
          <w:rFonts w:ascii="Arial" w:eastAsia="Times New Roman" w:hAnsi="Arial" w:cs="Arial"/>
          <w:sz w:val="22"/>
          <w:szCs w:val="22"/>
        </w:rPr>
        <w:t xml:space="preserve"> Better define in law, either through a carve-out or revision that CBCs are sub recipients, not vendors. Chapter 287 conflicts with Chapter 409.</w:t>
      </w:r>
    </w:p>
    <w:p w:rsidR="00BA4BF4" w:rsidRPr="00F1524F" w:rsidRDefault="00BA4BF4" w:rsidP="00F1524F">
      <w:pPr>
        <w:tabs>
          <w:tab w:val="left" w:pos="-5400"/>
        </w:tabs>
        <w:jc w:val="both"/>
        <w:rPr>
          <w:rFonts w:ascii="Arial" w:eastAsia="Times New Roman" w:hAnsi="Arial" w:cs="Arial"/>
          <w:sz w:val="22"/>
          <w:szCs w:val="22"/>
        </w:rPr>
      </w:pPr>
    </w:p>
    <w:p w:rsidR="00BA4BF4" w:rsidRPr="00F1524F" w:rsidRDefault="00BA4BF4" w:rsidP="00F1524F">
      <w:pPr>
        <w:tabs>
          <w:tab w:val="left" w:pos="-5400"/>
        </w:tabs>
        <w:jc w:val="both"/>
        <w:rPr>
          <w:rFonts w:ascii="Arial" w:eastAsia="Times New Roman" w:hAnsi="Arial" w:cs="Arial"/>
          <w:sz w:val="22"/>
          <w:szCs w:val="22"/>
        </w:rPr>
      </w:pPr>
      <w:r w:rsidRPr="00F1524F">
        <w:rPr>
          <w:rFonts w:ascii="Arial" w:eastAsia="Times New Roman" w:hAnsi="Arial" w:cs="Arial"/>
          <w:b/>
          <w:sz w:val="22"/>
          <w:szCs w:val="22"/>
          <w:u w:val="single"/>
        </w:rPr>
        <w:t>Risk Pool</w:t>
      </w:r>
      <w:r w:rsidRPr="00F1524F">
        <w:rPr>
          <w:rFonts w:ascii="Arial" w:eastAsia="Times New Roman" w:hAnsi="Arial" w:cs="Arial"/>
          <w:sz w:val="22"/>
          <w:szCs w:val="22"/>
        </w:rPr>
        <w:t xml:space="preserve"> The CBC Risk Pool needs to be funded in accordance with </w:t>
      </w:r>
      <w:r w:rsidRPr="00F1524F">
        <w:rPr>
          <w:rFonts w:ascii="Arial" w:eastAsia="Times New Roman" w:hAnsi="Arial" w:cs="Arial"/>
          <w:b/>
          <w:sz w:val="22"/>
          <w:szCs w:val="22"/>
        </w:rPr>
        <w:t>Chapter 409 (7)(a)</w:t>
      </w:r>
      <w:r w:rsidRPr="00F1524F">
        <w:rPr>
          <w:rFonts w:ascii="Arial" w:eastAsia="Times New Roman" w:hAnsi="Arial" w:cs="Arial"/>
          <w:sz w:val="22"/>
          <w:szCs w:val="22"/>
        </w:rPr>
        <w:t xml:space="preserve">: </w:t>
      </w:r>
      <w:r w:rsidRPr="00F1524F">
        <w:rPr>
          <w:rFonts w:ascii="Arial" w:eastAsia="Times New Roman" w:hAnsi="Arial" w:cs="Arial"/>
          <w:i/>
          <w:sz w:val="22"/>
          <w:szCs w:val="22"/>
        </w:rPr>
        <w:t>The department, in consultation with the Florida Coalition for Children, Inc., shall develop and implement a community-based care risk pool initiative to mitigate the financial risk to eligible lead community-based providers.</w:t>
      </w:r>
    </w:p>
    <w:p w:rsidR="003E4B2E" w:rsidRPr="00F1524F" w:rsidRDefault="003E4B2E" w:rsidP="00F1524F">
      <w:pPr>
        <w:ind w:left="720"/>
        <w:jc w:val="both"/>
        <w:rPr>
          <w:rFonts w:ascii="Arial" w:eastAsia="Times New Roman" w:hAnsi="Arial" w:cs="Arial"/>
          <w:sz w:val="22"/>
          <w:szCs w:val="22"/>
        </w:rPr>
      </w:pPr>
    </w:p>
    <w:p w:rsidR="008428C5" w:rsidRPr="00F1524F" w:rsidRDefault="00BA4BF4" w:rsidP="00F1524F">
      <w:pPr>
        <w:jc w:val="both"/>
        <w:rPr>
          <w:rFonts w:ascii="Arial" w:eastAsia="Times New Roman" w:hAnsi="Arial" w:cs="Arial"/>
          <w:sz w:val="22"/>
          <w:szCs w:val="22"/>
        </w:rPr>
      </w:pPr>
      <w:r w:rsidRPr="00F1524F">
        <w:rPr>
          <w:rFonts w:ascii="Arial" w:hAnsi="Arial" w:cs="Arial"/>
          <w:b/>
          <w:sz w:val="22"/>
          <w:szCs w:val="22"/>
          <w:u w:val="single"/>
        </w:rPr>
        <w:t>Local Representation</w:t>
      </w:r>
      <w:r w:rsidRPr="00F1524F">
        <w:rPr>
          <w:rFonts w:ascii="Arial" w:hAnsi="Arial" w:cs="Arial"/>
          <w:sz w:val="22"/>
          <w:szCs w:val="22"/>
        </w:rPr>
        <w:t xml:space="preserve"> </w:t>
      </w:r>
      <w:r w:rsidR="008428C5" w:rsidRPr="00F1524F">
        <w:rPr>
          <w:rFonts w:ascii="Arial" w:hAnsi="Arial" w:cs="Arial"/>
          <w:sz w:val="22"/>
          <w:szCs w:val="22"/>
        </w:rPr>
        <w:t xml:space="preserve">Put </w:t>
      </w:r>
      <w:r w:rsidR="003E4B2E" w:rsidRPr="00F1524F">
        <w:rPr>
          <w:rFonts w:ascii="Arial" w:hAnsi="Arial" w:cs="Arial"/>
          <w:sz w:val="22"/>
          <w:szCs w:val="22"/>
        </w:rPr>
        <w:t>“</w:t>
      </w:r>
      <w:r w:rsidR="008428C5" w:rsidRPr="00F1524F">
        <w:rPr>
          <w:rFonts w:ascii="Arial" w:hAnsi="Arial" w:cs="Arial"/>
          <w:sz w:val="22"/>
          <w:szCs w:val="22"/>
        </w:rPr>
        <w:t>Community</w:t>
      </w:r>
      <w:r w:rsidR="003E4B2E" w:rsidRPr="00F1524F">
        <w:rPr>
          <w:rFonts w:ascii="Arial" w:hAnsi="Arial" w:cs="Arial"/>
          <w:sz w:val="22"/>
          <w:szCs w:val="22"/>
        </w:rPr>
        <w:t>”</w:t>
      </w:r>
      <w:r w:rsidR="008428C5" w:rsidRPr="00F1524F">
        <w:rPr>
          <w:rFonts w:ascii="Arial" w:hAnsi="Arial" w:cs="Arial"/>
          <w:sz w:val="22"/>
          <w:szCs w:val="22"/>
        </w:rPr>
        <w:t xml:space="preserve"> back into Community Based Care</w:t>
      </w:r>
      <w:r w:rsidR="00353BB3" w:rsidRPr="00F1524F">
        <w:rPr>
          <w:rFonts w:ascii="Arial" w:hAnsi="Arial" w:cs="Arial"/>
          <w:sz w:val="22"/>
          <w:szCs w:val="22"/>
        </w:rPr>
        <w:t xml:space="preserve">. Local community members should equitably be represented in the CBC procurement process as they know and understand the needs of the local community. </w:t>
      </w:r>
      <w:r w:rsidR="00353BB3" w:rsidRPr="00F1524F">
        <w:rPr>
          <w:rFonts w:ascii="Arial" w:hAnsi="Arial" w:cs="Arial"/>
          <w:b/>
          <w:sz w:val="22"/>
          <w:szCs w:val="22"/>
        </w:rPr>
        <w:t>Chapter 409.1671.</w:t>
      </w:r>
      <w:r w:rsidR="00811E72" w:rsidRPr="00F1524F">
        <w:rPr>
          <w:rFonts w:ascii="Arial" w:hAnsi="Arial" w:cs="Arial"/>
          <w:b/>
          <w:sz w:val="22"/>
          <w:szCs w:val="22"/>
        </w:rPr>
        <w:t>2</w:t>
      </w:r>
      <w:r w:rsidR="003E4B2E" w:rsidRPr="00F1524F">
        <w:rPr>
          <w:rFonts w:ascii="Arial" w:hAnsi="Arial" w:cs="Arial"/>
          <w:b/>
          <w:sz w:val="22"/>
          <w:szCs w:val="22"/>
        </w:rPr>
        <w:t>(</w:t>
      </w:r>
      <w:r w:rsidR="00811E72" w:rsidRPr="00F1524F">
        <w:rPr>
          <w:rFonts w:ascii="Arial" w:hAnsi="Arial" w:cs="Arial"/>
          <w:b/>
          <w:sz w:val="22"/>
          <w:szCs w:val="22"/>
        </w:rPr>
        <w:t>d</w:t>
      </w:r>
      <w:r w:rsidR="003E4B2E" w:rsidRPr="00F1524F">
        <w:rPr>
          <w:rFonts w:ascii="Arial" w:hAnsi="Arial" w:cs="Arial"/>
          <w:b/>
          <w:sz w:val="22"/>
          <w:szCs w:val="22"/>
        </w:rPr>
        <w:t>)</w:t>
      </w:r>
      <w:r w:rsidR="003E4B2E" w:rsidRPr="00F1524F">
        <w:rPr>
          <w:rFonts w:ascii="Arial" w:hAnsi="Arial" w:cs="Arial"/>
          <w:sz w:val="22"/>
          <w:szCs w:val="22"/>
        </w:rPr>
        <w:t>:</w:t>
      </w:r>
      <w:r w:rsidR="00D479AC" w:rsidRPr="00F1524F">
        <w:rPr>
          <w:rFonts w:ascii="Arial" w:hAnsi="Arial" w:cs="Arial"/>
          <w:sz w:val="22"/>
          <w:szCs w:val="22"/>
        </w:rPr>
        <w:t xml:space="preserve"> </w:t>
      </w:r>
      <w:r w:rsidR="00353BB3" w:rsidRPr="00F1524F">
        <w:rPr>
          <w:rFonts w:ascii="Arial" w:eastAsia="Times New Roman" w:hAnsi="Arial" w:cs="Arial"/>
          <w:i/>
          <w:sz w:val="22"/>
          <w:szCs w:val="22"/>
        </w:rPr>
        <w:t>The plan must ensure local control over the management and administration of the service provision in accordance with the intent of this section and may include recognized best business practices, including some form of public or private partnerships.</w:t>
      </w:r>
    </w:p>
    <w:p w:rsidR="00D479AC" w:rsidRPr="00F1524F" w:rsidRDefault="00D479AC" w:rsidP="00F1524F">
      <w:pPr>
        <w:rPr>
          <w:rFonts w:ascii="Arial" w:hAnsi="Arial" w:cs="Arial"/>
          <w:sz w:val="22"/>
          <w:szCs w:val="22"/>
        </w:rPr>
      </w:pPr>
    </w:p>
    <w:p w:rsidR="00D479AC" w:rsidRPr="00F1524F" w:rsidRDefault="00D479AC" w:rsidP="00F1524F">
      <w:pPr>
        <w:rPr>
          <w:rFonts w:ascii="Arial" w:hAnsi="Arial" w:cs="Arial"/>
          <w:b/>
          <w:sz w:val="22"/>
          <w:szCs w:val="22"/>
        </w:rPr>
      </w:pPr>
      <w:r w:rsidRPr="00F1524F">
        <w:rPr>
          <w:rFonts w:ascii="Arial" w:hAnsi="Arial" w:cs="Arial"/>
          <w:b/>
          <w:sz w:val="22"/>
          <w:szCs w:val="22"/>
        </w:rPr>
        <w:t>Brevard Family Partnership also supports the following:</w:t>
      </w:r>
    </w:p>
    <w:p w:rsidR="00D479AC" w:rsidRPr="00F1524F" w:rsidRDefault="00D479AC" w:rsidP="00F1524F">
      <w:pPr>
        <w:rPr>
          <w:rFonts w:ascii="Arial" w:hAnsi="Arial" w:cs="Arial"/>
          <w:sz w:val="22"/>
          <w:szCs w:val="22"/>
        </w:rPr>
      </w:pPr>
    </w:p>
    <w:p w:rsidR="00BF6AC1" w:rsidRDefault="00D479AC" w:rsidP="00F1524F">
      <w:pPr>
        <w:pStyle w:val="ListParagraph"/>
        <w:numPr>
          <w:ilvl w:val="1"/>
          <w:numId w:val="9"/>
        </w:numPr>
        <w:ind w:left="360" w:hanging="180"/>
        <w:jc w:val="both"/>
        <w:rPr>
          <w:rFonts w:ascii="Arial" w:hAnsi="Arial" w:cs="Arial"/>
          <w:sz w:val="22"/>
          <w:szCs w:val="22"/>
        </w:rPr>
      </w:pPr>
      <w:r w:rsidRPr="00F1524F">
        <w:rPr>
          <w:rFonts w:ascii="Arial" w:hAnsi="Arial" w:cs="Arial"/>
          <w:sz w:val="22"/>
          <w:szCs w:val="22"/>
        </w:rPr>
        <w:t xml:space="preserve">The opportunity to engage </w:t>
      </w:r>
      <w:r w:rsidR="00C055DD" w:rsidRPr="00F1524F">
        <w:rPr>
          <w:rFonts w:ascii="Arial" w:hAnsi="Arial" w:cs="Arial"/>
          <w:sz w:val="22"/>
          <w:szCs w:val="22"/>
        </w:rPr>
        <w:t>local law enforcement</w:t>
      </w:r>
      <w:r w:rsidRPr="00F1524F">
        <w:rPr>
          <w:rFonts w:ascii="Arial" w:hAnsi="Arial" w:cs="Arial"/>
          <w:sz w:val="22"/>
          <w:szCs w:val="22"/>
        </w:rPr>
        <w:t xml:space="preserve"> in</w:t>
      </w:r>
      <w:r w:rsidR="00C055DD" w:rsidRPr="00F1524F">
        <w:rPr>
          <w:rFonts w:ascii="Arial" w:hAnsi="Arial" w:cs="Arial"/>
          <w:sz w:val="22"/>
          <w:szCs w:val="22"/>
        </w:rPr>
        <w:t xml:space="preserve"> agreements with community based care agencies to investigate hot line and child abuse calls, replacing DCF protective investigators</w:t>
      </w:r>
      <w:r w:rsidRPr="00F1524F">
        <w:rPr>
          <w:rFonts w:ascii="Arial" w:hAnsi="Arial" w:cs="Arial"/>
          <w:sz w:val="22"/>
          <w:szCs w:val="22"/>
        </w:rPr>
        <w:t>;</w:t>
      </w:r>
    </w:p>
    <w:p w:rsidR="00BF6AC1" w:rsidRDefault="00BF6AC1" w:rsidP="00F1524F">
      <w:pPr>
        <w:pStyle w:val="ListParagraph"/>
        <w:ind w:left="360"/>
        <w:jc w:val="both"/>
        <w:rPr>
          <w:rFonts w:ascii="Arial" w:hAnsi="Arial" w:cs="Arial"/>
          <w:sz w:val="22"/>
          <w:szCs w:val="22"/>
        </w:rPr>
      </w:pPr>
    </w:p>
    <w:p w:rsidR="008428C5" w:rsidRPr="00F1524F" w:rsidRDefault="00BF6AC1" w:rsidP="00F1524F">
      <w:pPr>
        <w:pStyle w:val="ListParagraph"/>
        <w:numPr>
          <w:ilvl w:val="1"/>
          <w:numId w:val="9"/>
        </w:numPr>
        <w:ind w:left="360" w:hanging="180"/>
        <w:jc w:val="both"/>
        <w:rPr>
          <w:rFonts w:ascii="Arial" w:hAnsi="Arial" w:cs="Arial"/>
          <w:sz w:val="22"/>
          <w:szCs w:val="22"/>
        </w:rPr>
      </w:pPr>
      <w:r>
        <w:rPr>
          <w:rFonts w:ascii="Arial" w:hAnsi="Arial" w:cs="Arial"/>
          <w:sz w:val="22"/>
          <w:szCs w:val="22"/>
        </w:rPr>
        <w:t>Increased funding for front-line caseworkers; and</w:t>
      </w:r>
    </w:p>
    <w:p w:rsidR="001553C2" w:rsidRPr="00F1524F" w:rsidRDefault="001553C2" w:rsidP="00F1524F">
      <w:pPr>
        <w:ind w:left="360" w:hanging="180"/>
        <w:jc w:val="both"/>
        <w:rPr>
          <w:rFonts w:ascii="Arial" w:hAnsi="Arial" w:cs="Arial"/>
          <w:sz w:val="22"/>
          <w:szCs w:val="22"/>
        </w:rPr>
      </w:pPr>
    </w:p>
    <w:p w:rsidR="001553C2" w:rsidRPr="00F1524F" w:rsidRDefault="00D479AC" w:rsidP="00F1524F">
      <w:pPr>
        <w:pStyle w:val="ListParagraph"/>
        <w:numPr>
          <w:ilvl w:val="0"/>
          <w:numId w:val="9"/>
        </w:numPr>
        <w:ind w:left="360" w:hanging="180"/>
        <w:jc w:val="both"/>
        <w:rPr>
          <w:rFonts w:ascii="Arial" w:hAnsi="Arial" w:cs="Arial"/>
          <w:sz w:val="20"/>
          <w:szCs w:val="20"/>
        </w:rPr>
      </w:pPr>
      <w:r w:rsidRPr="00F1524F">
        <w:rPr>
          <w:rFonts w:ascii="Arial" w:eastAsia="Times New Roman" w:hAnsi="Arial" w:cs="Arial"/>
          <w:sz w:val="22"/>
          <w:szCs w:val="22"/>
        </w:rPr>
        <w:t xml:space="preserve">The national accreditation of </w:t>
      </w:r>
      <w:r w:rsidR="001553C2" w:rsidRPr="00BF6AC1">
        <w:rPr>
          <w:rFonts w:ascii="Arial" w:eastAsia="Times New Roman" w:hAnsi="Arial" w:cs="Arial"/>
          <w:sz w:val="22"/>
          <w:szCs w:val="22"/>
        </w:rPr>
        <w:t>DCF</w:t>
      </w:r>
      <w:r w:rsidRPr="00F1524F">
        <w:rPr>
          <w:rFonts w:ascii="Arial" w:eastAsia="Times New Roman" w:hAnsi="Arial" w:cs="Arial"/>
          <w:sz w:val="22"/>
          <w:szCs w:val="22"/>
        </w:rPr>
        <w:t>.</w:t>
      </w:r>
      <w:r w:rsidR="001553C2" w:rsidRPr="00BF6AC1">
        <w:rPr>
          <w:rFonts w:ascii="Arial" w:eastAsia="Times New Roman" w:hAnsi="Arial" w:cs="Arial"/>
          <w:sz w:val="22"/>
          <w:szCs w:val="22"/>
        </w:rPr>
        <w:t xml:space="preserve"> As the entity statutorily required to monitor the performance of CBC lead agencies</w:t>
      </w:r>
      <w:r w:rsidRPr="00F1524F">
        <w:rPr>
          <w:rFonts w:ascii="Arial" w:eastAsia="Times New Roman" w:hAnsi="Arial" w:cs="Arial"/>
          <w:sz w:val="22"/>
          <w:szCs w:val="22"/>
        </w:rPr>
        <w:t>,</w:t>
      </w:r>
      <w:r w:rsidR="001553C2" w:rsidRPr="00BF6AC1">
        <w:rPr>
          <w:rFonts w:ascii="Arial" w:eastAsia="Times New Roman" w:hAnsi="Arial" w:cs="Arial"/>
          <w:sz w:val="22"/>
          <w:szCs w:val="22"/>
        </w:rPr>
        <w:t xml:space="preserve"> DCF should minimally be required to meet or exceed the standard of excellence required of </w:t>
      </w:r>
      <w:r w:rsidRPr="00F1524F">
        <w:rPr>
          <w:rFonts w:ascii="Arial" w:eastAsia="Times New Roman" w:hAnsi="Arial" w:cs="Arial"/>
          <w:sz w:val="22"/>
          <w:szCs w:val="22"/>
        </w:rPr>
        <w:t xml:space="preserve">its </w:t>
      </w:r>
      <w:r w:rsidR="001553C2" w:rsidRPr="00BF6AC1">
        <w:rPr>
          <w:rFonts w:ascii="Arial" w:eastAsia="Times New Roman" w:hAnsi="Arial" w:cs="Arial"/>
          <w:sz w:val="22"/>
          <w:szCs w:val="22"/>
        </w:rPr>
        <w:t>subcontractors.</w:t>
      </w:r>
    </w:p>
    <w:p w:rsidR="00C04E76" w:rsidRPr="00291012" w:rsidRDefault="00BF6AC1">
      <w:pPr>
        <w:rPr>
          <w:sz w:val="22"/>
        </w:rPr>
      </w:pPr>
      <w:r w:rsidRPr="00F1524F">
        <w:rPr>
          <w:rFonts w:ascii="Arial" w:hAnsi="Arial" w:cs="Arial"/>
          <w:bCs/>
          <w:noProof/>
          <w:szCs w:val="27"/>
        </w:rPr>
        <mc:AlternateContent>
          <mc:Choice Requires="wps">
            <w:drawing>
              <wp:anchor distT="0" distB="0" distL="114300" distR="114300" simplePos="0" relativeHeight="251661312" behindDoc="0" locked="0" layoutInCell="1" allowOverlap="1" wp14:anchorId="535603B3" wp14:editId="25D8BC4D">
                <wp:simplePos x="0" y="0"/>
                <wp:positionH relativeFrom="column">
                  <wp:posOffset>-298450</wp:posOffset>
                </wp:positionH>
                <wp:positionV relativeFrom="paragraph">
                  <wp:posOffset>501650</wp:posOffset>
                </wp:positionV>
                <wp:extent cx="6477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solidFill>
                          <a:srgbClr val="FFFFFF"/>
                        </a:solidFill>
                        <a:ln w="9525">
                          <a:noFill/>
                          <a:miter lim="800000"/>
                          <a:headEnd/>
                          <a:tailEnd/>
                        </a:ln>
                      </wps:spPr>
                      <wps:txbx>
                        <w:txbxContent>
                          <w:p w:rsidR="00F24306" w:rsidRPr="00F1524F" w:rsidRDefault="00F24306" w:rsidP="00F1524F">
                            <w:pPr>
                              <w:jc w:val="center"/>
                              <w:rPr>
                                <w:rFonts w:ascii="Arial" w:hAnsi="Arial" w:cs="Arial"/>
                                <w:color w:val="0071BC"/>
                                <w:sz w:val="18"/>
                                <w:szCs w:val="18"/>
                              </w:rPr>
                            </w:pPr>
                            <w:r w:rsidRPr="00F1524F">
                              <w:rPr>
                                <w:rFonts w:ascii="Arial" w:hAnsi="Arial" w:cs="Arial"/>
                                <w:color w:val="0071BC"/>
                                <w:sz w:val="18"/>
                                <w:szCs w:val="18"/>
                              </w:rPr>
                              <w:t xml:space="preserve">2301 W. Eau </w:t>
                            </w:r>
                            <w:proofErr w:type="spellStart"/>
                            <w:r w:rsidRPr="00F1524F">
                              <w:rPr>
                                <w:rFonts w:ascii="Arial" w:hAnsi="Arial" w:cs="Arial"/>
                                <w:color w:val="0071BC"/>
                                <w:sz w:val="18"/>
                                <w:szCs w:val="18"/>
                              </w:rPr>
                              <w:t>Gallie</w:t>
                            </w:r>
                            <w:proofErr w:type="spellEnd"/>
                            <w:r w:rsidRPr="00F1524F">
                              <w:rPr>
                                <w:rFonts w:ascii="Arial" w:hAnsi="Arial" w:cs="Arial"/>
                                <w:color w:val="0071BC"/>
                                <w:sz w:val="18"/>
                                <w:szCs w:val="18"/>
                              </w:rPr>
                              <w:t xml:space="preserve"> Blvd., Suite 104 | Melbourne, FL 32935 | 321-752-4650 | 321-752-3188 Fax | www.BrevardFP.org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9.5pt;width:51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" stroked="f">
                <v:textbox style="mso-fit-shape-to-text:t">
                  <w:txbxContent>
                    <w:p w:rsidR="00F24306" w:rsidRPr="00F1524F" w:rsidRDefault="00F24306" w:rsidP="00F1524F">
                      <w:pPr>
                        <w:jc w:val="center"/>
                        <w:rPr>
                          <w:rFonts w:ascii="Arial" w:hAnsi="Arial" w:cs="Arial"/>
                          <w:color w:val="0071BC"/>
                          <w:sz w:val="18"/>
                          <w:szCs w:val="18"/>
                        </w:rPr>
                      </w:pPr>
                      <w:r w:rsidRPr="00F1524F">
                        <w:rPr>
                          <w:rFonts w:ascii="Arial" w:hAnsi="Arial" w:cs="Arial"/>
                          <w:color w:val="0071BC"/>
                          <w:sz w:val="18"/>
                          <w:szCs w:val="18"/>
                        </w:rPr>
                        <w:t xml:space="preserve">2301 W. Eau </w:t>
                      </w:r>
                      <w:proofErr w:type="spellStart"/>
                      <w:r w:rsidRPr="00F1524F">
                        <w:rPr>
                          <w:rFonts w:ascii="Arial" w:hAnsi="Arial" w:cs="Arial"/>
                          <w:color w:val="0071BC"/>
                          <w:sz w:val="18"/>
                          <w:szCs w:val="18"/>
                        </w:rPr>
                        <w:t>Gallie</w:t>
                      </w:r>
                      <w:proofErr w:type="spellEnd"/>
                      <w:r w:rsidRPr="00F1524F">
                        <w:rPr>
                          <w:rFonts w:ascii="Arial" w:hAnsi="Arial" w:cs="Arial"/>
                          <w:color w:val="0071BC"/>
                          <w:sz w:val="18"/>
                          <w:szCs w:val="18"/>
                        </w:rPr>
                        <w:t xml:space="preserve"> Blvd., Suite 104 | Melbourne, FL 32935 | 321-752-4650 | 321-752-3188 Fax | www.BrevardFP.org</w:t>
                      </w:r>
                    </w:p>
                  </w:txbxContent>
                </v:textbox>
              </v:shape>
            </w:pict>
          </mc:Fallback>
        </mc:AlternateContent>
      </w:r>
    </w:p>
    <w:sectPr w:rsidR="00C04E76" w:rsidRPr="00291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06" w:rsidRDefault="00F24306" w:rsidP="00F24306">
      <w:r>
        <w:separator/>
      </w:r>
    </w:p>
  </w:endnote>
  <w:endnote w:type="continuationSeparator" w:id="0">
    <w:p w:rsidR="00F24306" w:rsidRDefault="00F24306" w:rsidP="00F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06" w:rsidRDefault="00F24306" w:rsidP="00F24306">
      <w:r>
        <w:separator/>
      </w:r>
    </w:p>
  </w:footnote>
  <w:footnote w:type="continuationSeparator" w:id="0">
    <w:p w:rsidR="00F24306" w:rsidRDefault="00F24306" w:rsidP="00F24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8F6"/>
    <w:multiLevelType w:val="hybridMultilevel"/>
    <w:tmpl w:val="4FEA3848"/>
    <w:lvl w:ilvl="0" w:tplc="A9CEF08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92463"/>
    <w:multiLevelType w:val="hybridMultilevel"/>
    <w:tmpl w:val="52388AE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AF07E9D"/>
    <w:multiLevelType w:val="hybridMultilevel"/>
    <w:tmpl w:val="0D224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E00C7"/>
    <w:multiLevelType w:val="hybridMultilevel"/>
    <w:tmpl w:val="1A72F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6796A"/>
    <w:multiLevelType w:val="hybridMultilevel"/>
    <w:tmpl w:val="5F221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E527090"/>
    <w:multiLevelType w:val="hybridMultilevel"/>
    <w:tmpl w:val="2FD21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85550"/>
    <w:multiLevelType w:val="hybridMultilevel"/>
    <w:tmpl w:val="2EB8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D1741"/>
    <w:multiLevelType w:val="hybridMultilevel"/>
    <w:tmpl w:val="ABE8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71097"/>
    <w:multiLevelType w:val="hybridMultilevel"/>
    <w:tmpl w:val="285CA448"/>
    <w:lvl w:ilvl="0" w:tplc="0BC4B3CE">
      <w:start w:val="1"/>
      <w:numFmt w:val="bullet"/>
      <w:lvlText w:val="•"/>
      <w:lvlJc w:val="left"/>
      <w:pPr>
        <w:tabs>
          <w:tab w:val="num" w:pos="720"/>
        </w:tabs>
        <w:ind w:left="720" w:hanging="360"/>
      </w:pPr>
      <w:rPr>
        <w:rFonts w:ascii="Arial" w:hAnsi="Arial" w:hint="default"/>
      </w:rPr>
    </w:lvl>
    <w:lvl w:ilvl="1" w:tplc="83CC9404" w:tentative="1">
      <w:start w:val="1"/>
      <w:numFmt w:val="bullet"/>
      <w:lvlText w:val="•"/>
      <w:lvlJc w:val="left"/>
      <w:pPr>
        <w:tabs>
          <w:tab w:val="num" w:pos="1440"/>
        </w:tabs>
        <w:ind w:left="1440" w:hanging="360"/>
      </w:pPr>
      <w:rPr>
        <w:rFonts w:ascii="Arial" w:hAnsi="Arial" w:hint="default"/>
      </w:rPr>
    </w:lvl>
    <w:lvl w:ilvl="2" w:tplc="D0668B2E" w:tentative="1">
      <w:start w:val="1"/>
      <w:numFmt w:val="bullet"/>
      <w:lvlText w:val="•"/>
      <w:lvlJc w:val="left"/>
      <w:pPr>
        <w:tabs>
          <w:tab w:val="num" w:pos="2160"/>
        </w:tabs>
        <w:ind w:left="2160" w:hanging="360"/>
      </w:pPr>
      <w:rPr>
        <w:rFonts w:ascii="Arial" w:hAnsi="Arial" w:hint="default"/>
      </w:rPr>
    </w:lvl>
    <w:lvl w:ilvl="3" w:tplc="FB56B150" w:tentative="1">
      <w:start w:val="1"/>
      <w:numFmt w:val="bullet"/>
      <w:lvlText w:val="•"/>
      <w:lvlJc w:val="left"/>
      <w:pPr>
        <w:tabs>
          <w:tab w:val="num" w:pos="2880"/>
        </w:tabs>
        <w:ind w:left="2880" w:hanging="360"/>
      </w:pPr>
      <w:rPr>
        <w:rFonts w:ascii="Arial" w:hAnsi="Arial" w:hint="default"/>
      </w:rPr>
    </w:lvl>
    <w:lvl w:ilvl="4" w:tplc="C55AB3AA" w:tentative="1">
      <w:start w:val="1"/>
      <w:numFmt w:val="bullet"/>
      <w:lvlText w:val="•"/>
      <w:lvlJc w:val="left"/>
      <w:pPr>
        <w:tabs>
          <w:tab w:val="num" w:pos="3600"/>
        </w:tabs>
        <w:ind w:left="3600" w:hanging="360"/>
      </w:pPr>
      <w:rPr>
        <w:rFonts w:ascii="Arial" w:hAnsi="Arial" w:hint="default"/>
      </w:rPr>
    </w:lvl>
    <w:lvl w:ilvl="5" w:tplc="37E00082" w:tentative="1">
      <w:start w:val="1"/>
      <w:numFmt w:val="bullet"/>
      <w:lvlText w:val="•"/>
      <w:lvlJc w:val="left"/>
      <w:pPr>
        <w:tabs>
          <w:tab w:val="num" w:pos="4320"/>
        </w:tabs>
        <w:ind w:left="4320" w:hanging="360"/>
      </w:pPr>
      <w:rPr>
        <w:rFonts w:ascii="Arial" w:hAnsi="Arial" w:hint="default"/>
      </w:rPr>
    </w:lvl>
    <w:lvl w:ilvl="6" w:tplc="F4E456A4" w:tentative="1">
      <w:start w:val="1"/>
      <w:numFmt w:val="bullet"/>
      <w:lvlText w:val="•"/>
      <w:lvlJc w:val="left"/>
      <w:pPr>
        <w:tabs>
          <w:tab w:val="num" w:pos="5040"/>
        </w:tabs>
        <w:ind w:left="5040" w:hanging="360"/>
      </w:pPr>
      <w:rPr>
        <w:rFonts w:ascii="Arial" w:hAnsi="Arial" w:hint="default"/>
      </w:rPr>
    </w:lvl>
    <w:lvl w:ilvl="7" w:tplc="4A343856" w:tentative="1">
      <w:start w:val="1"/>
      <w:numFmt w:val="bullet"/>
      <w:lvlText w:val="•"/>
      <w:lvlJc w:val="left"/>
      <w:pPr>
        <w:tabs>
          <w:tab w:val="num" w:pos="5760"/>
        </w:tabs>
        <w:ind w:left="5760" w:hanging="360"/>
      </w:pPr>
      <w:rPr>
        <w:rFonts w:ascii="Arial" w:hAnsi="Arial" w:hint="default"/>
      </w:rPr>
    </w:lvl>
    <w:lvl w:ilvl="8" w:tplc="C52EEB6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8"/>
  </w:num>
  <w:num w:numId="5">
    <w:abstractNumId w:val="1"/>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C5"/>
    <w:rsid w:val="000A12FD"/>
    <w:rsid w:val="000D3CAE"/>
    <w:rsid w:val="000F08C2"/>
    <w:rsid w:val="00104B34"/>
    <w:rsid w:val="001553C2"/>
    <w:rsid w:val="00190D86"/>
    <w:rsid w:val="00265D30"/>
    <w:rsid w:val="00291012"/>
    <w:rsid w:val="002B5EF5"/>
    <w:rsid w:val="002E501E"/>
    <w:rsid w:val="00353BB3"/>
    <w:rsid w:val="003B4C91"/>
    <w:rsid w:val="003E4B2E"/>
    <w:rsid w:val="003F1A5A"/>
    <w:rsid w:val="00453C48"/>
    <w:rsid w:val="004B6C34"/>
    <w:rsid w:val="0052313D"/>
    <w:rsid w:val="00530BDB"/>
    <w:rsid w:val="00641B9D"/>
    <w:rsid w:val="00700EA0"/>
    <w:rsid w:val="00790485"/>
    <w:rsid w:val="007F0E26"/>
    <w:rsid w:val="00811E72"/>
    <w:rsid w:val="008428C5"/>
    <w:rsid w:val="00AC25B2"/>
    <w:rsid w:val="00AD1C5E"/>
    <w:rsid w:val="00B3768B"/>
    <w:rsid w:val="00B65EDF"/>
    <w:rsid w:val="00BA4BF4"/>
    <w:rsid w:val="00BF6AC1"/>
    <w:rsid w:val="00C04E76"/>
    <w:rsid w:val="00C055DD"/>
    <w:rsid w:val="00CB2622"/>
    <w:rsid w:val="00CF5EF5"/>
    <w:rsid w:val="00CF634A"/>
    <w:rsid w:val="00D479AC"/>
    <w:rsid w:val="00E6372B"/>
    <w:rsid w:val="00F1524F"/>
    <w:rsid w:val="00F24306"/>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C5"/>
    <w:pPr>
      <w:ind w:left="720"/>
      <w:contextualSpacing/>
    </w:pPr>
  </w:style>
  <w:style w:type="character" w:styleId="CommentReference">
    <w:name w:val="annotation reference"/>
    <w:basedOn w:val="DefaultParagraphFont"/>
    <w:uiPriority w:val="99"/>
    <w:semiHidden/>
    <w:unhideWhenUsed/>
    <w:rsid w:val="00353BB3"/>
    <w:rPr>
      <w:sz w:val="16"/>
      <w:szCs w:val="16"/>
    </w:rPr>
  </w:style>
  <w:style w:type="paragraph" w:styleId="CommentText">
    <w:name w:val="annotation text"/>
    <w:basedOn w:val="Normal"/>
    <w:link w:val="CommentTextChar"/>
    <w:uiPriority w:val="99"/>
    <w:semiHidden/>
    <w:unhideWhenUsed/>
    <w:rsid w:val="00353BB3"/>
    <w:rPr>
      <w:sz w:val="20"/>
      <w:szCs w:val="20"/>
    </w:rPr>
  </w:style>
  <w:style w:type="character" w:customStyle="1" w:styleId="CommentTextChar">
    <w:name w:val="Comment Text Char"/>
    <w:basedOn w:val="DefaultParagraphFont"/>
    <w:link w:val="CommentText"/>
    <w:uiPriority w:val="99"/>
    <w:semiHidden/>
    <w:rsid w:val="00353B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BB3"/>
    <w:rPr>
      <w:b/>
      <w:bCs/>
    </w:rPr>
  </w:style>
  <w:style w:type="character" w:customStyle="1" w:styleId="CommentSubjectChar">
    <w:name w:val="Comment Subject Char"/>
    <w:basedOn w:val="CommentTextChar"/>
    <w:link w:val="CommentSubject"/>
    <w:uiPriority w:val="99"/>
    <w:semiHidden/>
    <w:rsid w:val="00353B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53BB3"/>
    <w:rPr>
      <w:rFonts w:ascii="Tahoma" w:hAnsi="Tahoma" w:cs="Tahoma"/>
      <w:sz w:val="16"/>
      <w:szCs w:val="16"/>
    </w:rPr>
  </w:style>
  <w:style w:type="character" w:customStyle="1" w:styleId="BalloonTextChar">
    <w:name w:val="Balloon Text Char"/>
    <w:basedOn w:val="DefaultParagraphFont"/>
    <w:link w:val="BalloonText"/>
    <w:uiPriority w:val="99"/>
    <w:semiHidden/>
    <w:rsid w:val="00353BB3"/>
    <w:rPr>
      <w:rFonts w:ascii="Tahoma" w:hAnsi="Tahoma" w:cs="Tahoma"/>
      <w:sz w:val="16"/>
      <w:szCs w:val="16"/>
    </w:rPr>
  </w:style>
  <w:style w:type="paragraph" w:styleId="Revision">
    <w:name w:val="Revision"/>
    <w:hidden/>
    <w:uiPriority w:val="99"/>
    <w:semiHidden/>
    <w:rsid w:val="00700EA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24306"/>
    <w:pPr>
      <w:tabs>
        <w:tab w:val="center" w:pos="4680"/>
        <w:tab w:val="right" w:pos="9360"/>
      </w:tabs>
    </w:pPr>
  </w:style>
  <w:style w:type="character" w:customStyle="1" w:styleId="HeaderChar">
    <w:name w:val="Header Char"/>
    <w:basedOn w:val="DefaultParagraphFont"/>
    <w:link w:val="Header"/>
    <w:uiPriority w:val="99"/>
    <w:rsid w:val="00F24306"/>
    <w:rPr>
      <w:rFonts w:ascii="Times New Roman" w:hAnsi="Times New Roman" w:cs="Times New Roman"/>
      <w:sz w:val="24"/>
      <w:szCs w:val="24"/>
    </w:rPr>
  </w:style>
  <w:style w:type="paragraph" w:styleId="Footer">
    <w:name w:val="footer"/>
    <w:basedOn w:val="Normal"/>
    <w:link w:val="FooterChar"/>
    <w:uiPriority w:val="99"/>
    <w:unhideWhenUsed/>
    <w:rsid w:val="00F24306"/>
    <w:pPr>
      <w:tabs>
        <w:tab w:val="center" w:pos="4680"/>
        <w:tab w:val="right" w:pos="9360"/>
      </w:tabs>
    </w:pPr>
  </w:style>
  <w:style w:type="character" w:customStyle="1" w:styleId="FooterChar">
    <w:name w:val="Footer Char"/>
    <w:basedOn w:val="DefaultParagraphFont"/>
    <w:link w:val="Footer"/>
    <w:uiPriority w:val="99"/>
    <w:rsid w:val="00F243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C5"/>
    <w:pPr>
      <w:ind w:left="720"/>
      <w:contextualSpacing/>
    </w:pPr>
  </w:style>
  <w:style w:type="character" w:styleId="CommentReference">
    <w:name w:val="annotation reference"/>
    <w:basedOn w:val="DefaultParagraphFont"/>
    <w:uiPriority w:val="99"/>
    <w:semiHidden/>
    <w:unhideWhenUsed/>
    <w:rsid w:val="00353BB3"/>
    <w:rPr>
      <w:sz w:val="16"/>
      <w:szCs w:val="16"/>
    </w:rPr>
  </w:style>
  <w:style w:type="paragraph" w:styleId="CommentText">
    <w:name w:val="annotation text"/>
    <w:basedOn w:val="Normal"/>
    <w:link w:val="CommentTextChar"/>
    <w:uiPriority w:val="99"/>
    <w:semiHidden/>
    <w:unhideWhenUsed/>
    <w:rsid w:val="00353BB3"/>
    <w:rPr>
      <w:sz w:val="20"/>
      <w:szCs w:val="20"/>
    </w:rPr>
  </w:style>
  <w:style w:type="character" w:customStyle="1" w:styleId="CommentTextChar">
    <w:name w:val="Comment Text Char"/>
    <w:basedOn w:val="DefaultParagraphFont"/>
    <w:link w:val="CommentText"/>
    <w:uiPriority w:val="99"/>
    <w:semiHidden/>
    <w:rsid w:val="00353B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BB3"/>
    <w:rPr>
      <w:b/>
      <w:bCs/>
    </w:rPr>
  </w:style>
  <w:style w:type="character" w:customStyle="1" w:styleId="CommentSubjectChar">
    <w:name w:val="Comment Subject Char"/>
    <w:basedOn w:val="CommentTextChar"/>
    <w:link w:val="CommentSubject"/>
    <w:uiPriority w:val="99"/>
    <w:semiHidden/>
    <w:rsid w:val="00353B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53BB3"/>
    <w:rPr>
      <w:rFonts w:ascii="Tahoma" w:hAnsi="Tahoma" w:cs="Tahoma"/>
      <w:sz w:val="16"/>
      <w:szCs w:val="16"/>
    </w:rPr>
  </w:style>
  <w:style w:type="character" w:customStyle="1" w:styleId="BalloonTextChar">
    <w:name w:val="Balloon Text Char"/>
    <w:basedOn w:val="DefaultParagraphFont"/>
    <w:link w:val="BalloonText"/>
    <w:uiPriority w:val="99"/>
    <w:semiHidden/>
    <w:rsid w:val="00353BB3"/>
    <w:rPr>
      <w:rFonts w:ascii="Tahoma" w:hAnsi="Tahoma" w:cs="Tahoma"/>
      <w:sz w:val="16"/>
      <w:szCs w:val="16"/>
    </w:rPr>
  </w:style>
  <w:style w:type="paragraph" w:styleId="Revision">
    <w:name w:val="Revision"/>
    <w:hidden/>
    <w:uiPriority w:val="99"/>
    <w:semiHidden/>
    <w:rsid w:val="00700EA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24306"/>
    <w:pPr>
      <w:tabs>
        <w:tab w:val="center" w:pos="4680"/>
        <w:tab w:val="right" w:pos="9360"/>
      </w:tabs>
    </w:pPr>
  </w:style>
  <w:style w:type="character" w:customStyle="1" w:styleId="HeaderChar">
    <w:name w:val="Header Char"/>
    <w:basedOn w:val="DefaultParagraphFont"/>
    <w:link w:val="Header"/>
    <w:uiPriority w:val="99"/>
    <w:rsid w:val="00F24306"/>
    <w:rPr>
      <w:rFonts w:ascii="Times New Roman" w:hAnsi="Times New Roman" w:cs="Times New Roman"/>
      <w:sz w:val="24"/>
      <w:szCs w:val="24"/>
    </w:rPr>
  </w:style>
  <w:style w:type="paragraph" w:styleId="Footer">
    <w:name w:val="footer"/>
    <w:basedOn w:val="Normal"/>
    <w:link w:val="FooterChar"/>
    <w:uiPriority w:val="99"/>
    <w:unhideWhenUsed/>
    <w:rsid w:val="00F24306"/>
    <w:pPr>
      <w:tabs>
        <w:tab w:val="center" w:pos="4680"/>
        <w:tab w:val="right" w:pos="9360"/>
      </w:tabs>
    </w:pPr>
  </w:style>
  <w:style w:type="character" w:customStyle="1" w:styleId="FooterChar">
    <w:name w:val="Footer Char"/>
    <w:basedOn w:val="DefaultParagraphFont"/>
    <w:link w:val="Footer"/>
    <w:uiPriority w:val="99"/>
    <w:rsid w:val="00F243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52265">
      <w:bodyDiv w:val="1"/>
      <w:marLeft w:val="0"/>
      <w:marRight w:val="0"/>
      <w:marTop w:val="0"/>
      <w:marBottom w:val="0"/>
      <w:divBdr>
        <w:top w:val="none" w:sz="0" w:space="0" w:color="auto"/>
        <w:left w:val="none" w:sz="0" w:space="0" w:color="auto"/>
        <w:bottom w:val="none" w:sz="0" w:space="0" w:color="auto"/>
        <w:right w:val="none" w:sz="0" w:space="0" w:color="auto"/>
      </w:divBdr>
      <w:divsChild>
        <w:div w:id="192423556">
          <w:marLeft w:val="547"/>
          <w:marRight w:val="0"/>
          <w:marTop w:val="154"/>
          <w:marBottom w:val="0"/>
          <w:divBdr>
            <w:top w:val="none" w:sz="0" w:space="0" w:color="auto"/>
            <w:left w:val="none" w:sz="0" w:space="0" w:color="auto"/>
            <w:bottom w:val="none" w:sz="0" w:space="0" w:color="auto"/>
            <w:right w:val="none" w:sz="0" w:space="0" w:color="auto"/>
          </w:divBdr>
        </w:div>
      </w:divsChild>
    </w:div>
    <w:div w:id="1050112063">
      <w:bodyDiv w:val="1"/>
      <w:marLeft w:val="0"/>
      <w:marRight w:val="0"/>
      <w:marTop w:val="0"/>
      <w:marBottom w:val="0"/>
      <w:divBdr>
        <w:top w:val="none" w:sz="0" w:space="0" w:color="auto"/>
        <w:left w:val="none" w:sz="0" w:space="0" w:color="auto"/>
        <w:bottom w:val="none" w:sz="0" w:space="0" w:color="auto"/>
        <w:right w:val="none" w:sz="0" w:space="0" w:color="auto"/>
      </w:divBdr>
    </w:div>
    <w:div w:id="11714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Brevard Family Partnership</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Nellius</dc:creator>
  <cp:lastModifiedBy>Geo Ropert</cp:lastModifiedBy>
  <cp:revision>7</cp:revision>
  <cp:lastPrinted>2013-07-31T14:48:00Z</cp:lastPrinted>
  <dcterms:created xsi:type="dcterms:W3CDTF">2013-08-02T13:31:00Z</dcterms:created>
  <dcterms:modified xsi:type="dcterms:W3CDTF">2013-08-02T16:40:00Z</dcterms:modified>
</cp:coreProperties>
</file>